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1B1E3" w14:textId="73D6C3A5" w:rsidR="004D3417" w:rsidRDefault="004D3417">
      <w:r>
        <w:rPr>
          <w:noProof/>
          <w:lang w:eastAsia="nl-NL"/>
        </w:rPr>
        <w:drawing>
          <wp:anchor distT="0" distB="0" distL="114300" distR="114300" simplePos="0" relativeHeight="251658240" behindDoc="1" locked="0" layoutInCell="1" allowOverlap="1" wp14:anchorId="1074B28F" wp14:editId="2C27E8E3">
            <wp:simplePos x="0" y="0"/>
            <wp:positionH relativeFrom="column">
              <wp:posOffset>6360160</wp:posOffset>
            </wp:positionH>
            <wp:positionV relativeFrom="paragraph">
              <wp:posOffset>-665480</wp:posOffset>
            </wp:positionV>
            <wp:extent cx="3080385" cy="1034415"/>
            <wp:effectExtent l="0" t="0" r="5715"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080385" cy="1034415"/>
                    </a:xfrm>
                    <a:prstGeom prst="rect">
                      <a:avLst/>
                    </a:prstGeom>
                  </pic:spPr>
                </pic:pic>
              </a:graphicData>
            </a:graphic>
            <wp14:sizeRelH relativeFrom="page">
              <wp14:pctWidth>0</wp14:pctWidth>
            </wp14:sizeRelH>
            <wp14:sizeRelV relativeFrom="page">
              <wp14:pctHeight>0</wp14:pctHeight>
            </wp14:sizeRelV>
          </wp:anchor>
        </w:drawing>
      </w:r>
    </w:p>
    <w:p w14:paraId="30F43BF7" w14:textId="77777777" w:rsidR="004D3417" w:rsidRDefault="004D3417"/>
    <w:tbl>
      <w:tblPr>
        <w:tblStyle w:val="Tabelraster"/>
        <w:tblW w:w="1042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685"/>
        <w:gridCol w:w="3341"/>
      </w:tblGrid>
      <w:tr w:rsidR="004D3417" w14:paraId="60168C7D" w14:textId="77777777" w:rsidTr="004D3417">
        <w:trPr>
          <w:trHeight w:val="567"/>
        </w:trPr>
        <w:tc>
          <w:tcPr>
            <w:tcW w:w="3402" w:type="dxa"/>
            <w:hideMark/>
          </w:tcPr>
          <w:p w14:paraId="128A6D91" w14:textId="77777777" w:rsidR="004D3417" w:rsidRDefault="004D3417">
            <w:pPr>
              <w:rPr>
                <w:b/>
                <w:sz w:val="18"/>
                <w:szCs w:val="18"/>
              </w:rPr>
            </w:pPr>
            <w:r>
              <w:rPr>
                <w:b/>
                <w:sz w:val="18"/>
                <w:szCs w:val="18"/>
              </w:rPr>
              <w:t>Datum</w:t>
            </w:r>
          </w:p>
          <w:p w14:paraId="639A0AF9" w14:textId="7BEDC174" w:rsidR="004D3417" w:rsidRDefault="004D3417" w:rsidP="004D3417">
            <w:pPr>
              <w:rPr>
                <w:sz w:val="18"/>
                <w:szCs w:val="18"/>
              </w:rPr>
            </w:pPr>
            <w:r>
              <w:rPr>
                <w:sz w:val="18"/>
                <w:szCs w:val="18"/>
              </w:rPr>
              <w:t>Maart 2021</w:t>
            </w:r>
          </w:p>
        </w:tc>
        <w:tc>
          <w:tcPr>
            <w:tcW w:w="3685" w:type="dxa"/>
          </w:tcPr>
          <w:p w14:paraId="27A3CE3F" w14:textId="77777777" w:rsidR="004D3417" w:rsidRDefault="004D3417">
            <w:pPr>
              <w:rPr>
                <w:b/>
                <w:sz w:val="18"/>
                <w:szCs w:val="18"/>
              </w:rPr>
            </w:pPr>
            <w:r>
              <w:rPr>
                <w:b/>
                <w:sz w:val="18"/>
                <w:szCs w:val="18"/>
              </w:rPr>
              <w:t>Behandeld door</w:t>
            </w:r>
          </w:p>
          <w:p w14:paraId="522C0DEB" w14:textId="72C4B114" w:rsidR="004D3417" w:rsidRDefault="004D3417">
            <w:pPr>
              <w:rPr>
                <w:sz w:val="18"/>
                <w:szCs w:val="18"/>
              </w:rPr>
            </w:pPr>
            <w:r>
              <w:rPr>
                <w:sz w:val="18"/>
                <w:szCs w:val="18"/>
              </w:rPr>
              <w:t>BPD Compliance</w:t>
            </w:r>
          </w:p>
        </w:tc>
        <w:tc>
          <w:tcPr>
            <w:tcW w:w="3341" w:type="dxa"/>
          </w:tcPr>
          <w:p w14:paraId="2EA551BC" w14:textId="77777777" w:rsidR="004D3417" w:rsidRDefault="004D3417" w:rsidP="004D3417">
            <w:pPr>
              <w:rPr>
                <w:b/>
                <w:sz w:val="18"/>
                <w:szCs w:val="18"/>
              </w:rPr>
            </w:pPr>
            <w:r>
              <w:rPr>
                <w:b/>
                <w:sz w:val="18"/>
                <w:szCs w:val="18"/>
              </w:rPr>
              <w:t>E-mail</w:t>
            </w:r>
          </w:p>
          <w:p w14:paraId="5C5FBE5B" w14:textId="173D6294" w:rsidR="004D3417" w:rsidRDefault="004D3417" w:rsidP="004D3417">
            <w:pPr>
              <w:rPr>
                <w:sz w:val="18"/>
                <w:szCs w:val="18"/>
              </w:rPr>
            </w:pPr>
            <w:r>
              <w:rPr>
                <w:sz w:val="18"/>
                <w:szCs w:val="18"/>
              </w:rPr>
              <w:t>compliancebpd@bpd.nl</w:t>
            </w:r>
          </w:p>
        </w:tc>
      </w:tr>
      <w:tr w:rsidR="004D3417" w14:paraId="7F045A80" w14:textId="77777777" w:rsidTr="004D3417">
        <w:trPr>
          <w:trHeight w:val="567"/>
        </w:trPr>
        <w:tc>
          <w:tcPr>
            <w:tcW w:w="3402" w:type="dxa"/>
            <w:hideMark/>
          </w:tcPr>
          <w:p w14:paraId="5C1872AC" w14:textId="77777777" w:rsidR="004D3417" w:rsidRDefault="004D3417">
            <w:pPr>
              <w:rPr>
                <w:b/>
                <w:sz w:val="18"/>
                <w:szCs w:val="18"/>
              </w:rPr>
            </w:pPr>
            <w:r>
              <w:rPr>
                <w:b/>
                <w:sz w:val="18"/>
                <w:szCs w:val="18"/>
              </w:rPr>
              <w:t>Kenmerk</w:t>
            </w:r>
          </w:p>
          <w:p w14:paraId="30F41377" w14:textId="3DFCD696" w:rsidR="004D3417" w:rsidRDefault="004D3417" w:rsidP="004D3417">
            <w:pPr>
              <w:rPr>
                <w:sz w:val="18"/>
                <w:szCs w:val="18"/>
              </w:rPr>
            </w:pPr>
            <w:r>
              <w:rPr>
                <w:sz w:val="18"/>
                <w:szCs w:val="18"/>
              </w:rPr>
              <w:t>BPDD omschrijving</w:t>
            </w:r>
          </w:p>
        </w:tc>
        <w:tc>
          <w:tcPr>
            <w:tcW w:w="3685" w:type="dxa"/>
            <w:hideMark/>
          </w:tcPr>
          <w:p w14:paraId="1E9B940C" w14:textId="77777777" w:rsidR="004D3417" w:rsidRDefault="004D3417">
            <w:pPr>
              <w:rPr>
                <w:b/>
                <w:sz w:val="18"/>
                <w:szCs w:val="18"/>
              </w:rPr>
            </w:pPr>
            <w:r>
              <w:rPr>
                <w:b/>
                <w:sz w:val="18"/>
                <w:szCs w:val="18"/>
              </w:rPr>
              <w:t>Onderwerp</w:t>
            </w:r>
          </w:p>
          <w:p w14:paraId="518B65B4" w14:textId="32946FAB" w:rsidR="004D3417" w:rsidRDefault="004D3417">
            <w:pPr>
              <w:rPr>
                <w:sz w:val="18"/>
                <w:szCs w:val="18"/>
              </w:rPr>
            </w:pPr>
            <w:r>
              <w:rPr>
                <w:sz w:val="18"/>
                <w:szCs w:val="18"/>
              </w:rPr>
              <w:t>BPDD Beleid Bouwfonds Gebiedsontwikkeling</w:t>
            </w:r>
          </w:p>
        </w:tc>
        <w:tc>
          <w:tcPr>
            <w:tcW w:w="3341" w:type="dxa"/>
            <w:hideMark/>
          </w:tcPr>
          <w:p w14:paraId="2C3EC47B" w14:textId="1D57069C" w:rsidR="004D3417" w:rsidRDefault="004D3417">
            <w:pPr>
              <w:rPr>
                <w:sz w:val="18"/>
                <w:szCs w:val="18"/>
              </w:rPr>
            </w:pPr>
            <w:r>
              <w:rPr>
                <w:sz w:val="18"/>
                <w:szCs w:val="18"/>
              </w:rPr>
              <w:fldChar w:fldCharType="begin"/>
            </w:r>
            <w:r>
              <w:rPr>
                <w:sz w:val="18"/>
                <w:szCs w:val="18"/>
              </w:rPr>
              <w:instrText xml:space="preserve"> DOCVARIABLE "email" </w:instrText>
            </w:r>
            <w:r>
              <w:rPr>
                <w:sz w:val="18"/>
                <w:szCs w:val="18"/>
              </w:rPr>
              <w:fldChar w:fldCharType="end"/>
            </w:r>
          </w:p>
        </w:tc>
      </w:tr>
    </w:tbl>
    <w:p w14:paraId="18A7AFF1" w14:textId="77777777" w:rsidR="004D3417" w:rsidRDefault="004D3417"/>
    <w:p w14:paraId="5F860731" w14:textId="7D4B9678" w:rsidR="00E63BBB" w:rsidRPr="004D3417" w:rsidRDefault="00E63BBB">
      <w:pPr>
        <w:rPr>
          <w:b/>
        </w:rPr>
      </w:pPr>
      <w:r w:rsidRPr="004D3417">
        <w:rPr>
          <w:b/>
        </w:rPr>
        <w:t>Omschrijving BPDD beleid</w:t>
      </w:r>
      <w:r w:rsidR="004D3417" w:rsidRPr="004D3417">
        <w:rPr>
          <w:b/>
        </w:rPr>
        <w:t xml:space="preserve"> Bouwfonds Gebiedsontwikkeling (BPD)</w:t>
      </w:r>
    </w:p>
    <w:p w14:paraId="3648CC7D" w14:textId="3372415D" w:rsidR="00791442" w:rsidRPr="00D92812" w:rsidRDefault="00E63BBB" w:rsidP="00791442">
      <w:pPr>
        <w:rPr>
          <w:bCs/>
        </w:rPr>
      </w:pPr>
      <w:r w:rsidRPr="004233C4">
        <w:rPr>
          <w:bCs/>
        </w:rPr>
        <w:t>BPD sluit met diverse zakelijke partners overeenkomsten. Daarbij kan gedacht worden aan samenwerkingspartners, aannemers, constructeurs, maar ook aan meer specifieke diensten, zoals advisering door advocaten, accountants, adviseurs en financiële dienstverleners als intermediairs en bemiddelaars. </w:t>
      </w:r>
      <w:r w:rsidR="00F3162F" w:rsidRPr="00D92812">
        <w:t xml:space="preserve">Om te weten met welke partijen wij contracten aangaan en om te voorkomen dat BPD zaken doet met partijen die onze reputatie kunnen schaden voeren wij Business Partner Due Dillegence (BPDD) uit. Via BPDD beoordelen wij onze zakelijke relaties op een aantal criteria. </w:t>
      </w:r>
      <w:r w:rsidR="00F3162F" w:rsidRPr="00D92812">
        <w:rPr>
          <w:bCs/>
        </w:rPr>
        <w:t>Ook bij onze aandeelhouder (Rabobank) en de bracheorganisatie (NEPROM)</w:t>
      </w:r>
      <w:r w:rsidR="00410652">
        <w:rPr>
          <w:bCs/>
        </w:rPr>
        <w:t xml:space="preserve"> </w:t>
      </w:r>
      <w:r w:rsidR="00F3162F" w:rsidRPr="00D92812">
        <w:rPr>
          <w:bCs/>
        </w:rPr>
        <w:t>waarbij wij zijn aangesloten</w:t>
      </w:r>
      <w:r w:rsidR="00410652">
        <w:rPr>
          <w:bCs/>
        </w:rPr>
        <w:t>,</w:t>
      </w:r>
      <w:r w:rsidR="00F3162F" w:rsidRPr="00D92812">
        <w:rPr>
          <w:bCs/>
        </w:rPr>
        <w:t xml:space="preserve"> is het uitvoeren een </w:t>
      </w:r>
      <w:r w:rsidR="00410652">
        <w:rPr>
          <w:bCs/>
        </w:rPr>
        <w:t>gedegen</w:t>
      </w:r>
      <w:r w:rsidR="00F3162F" w:rsidRPr="00D92812">
        <w:rPr>
          <w:bCs/>
        </w:rPr>
        <w:t xml:space="preserve"> relatie onderzoek een belangrijke pijler van het integriteitsbeleid</w:t>
      </w:r>
      <w:r w:rsidRPr="004233C4">
        <w:rPr>
          <w:bCs/>
        </w:rPr>
        <w:t>.</w:t>
      </w:r>
      <w:r w:rsidR="00791442" w:rsidRPr="00D92812">
        <w:rPr>
          <w:bCs/>
        </w:rPr>
        <w:t xml:space="preserve"> BPDD richt zich voornamelijk op de volgende activiteiten binnen BPD:</w:t>
      </w:r>
    </w:p>
    <w:p w14:paraId="21D99FF1" w14:textId="77777777" w:rsidR="00791442" w:rsidRPr="00D92812" w:rsidRDefault="00791442" w:rsidP="00D92812">
      <w:pPr>
        <w:pStyle w:val="Lijstalinea"/>
        <w:numPr>
          <w:ilvl w:val="0"/>
          <w:numId w:val="1"/>
        </w:numPr>
      </w:pPr>
      <w:r w:rsidRPr="00D92812">
        <w:t>het aankopen van onroerend goed (grond/opstallen);</w:t>
      </w:r>
    </w:p>
    <w:p w14:paraId="34D9B3CC" w14:textId="77777777" w:rsidR="00791442" w:rsidRPr="00D92812" w:rsidRDefault="00791442" w:rsidP="00D92812">
      <w:pPr>
        <w:pStyle w:val="Lijstalinea"/>
        <w:numPr>
          <w:ilvl w:val="0"/>
          <w:numId w:val="1"/>
        </w:numPr>
      </w:pPr>
      <w:r w:rsidRPr="00D92812">
        <w:t>het (laten) ontwikkelen van onroerend goed;</w:t>
      </w:r>
    </w:p>
    <w:p w14:paraId="1ED36B62" w14:textId="77777777" w:rsidR="00791442" w:rsidRPr="00D92812" w:rsidRDefault="00791442" w:rsidP="00D92812">
      <w:pPr>
        <w:pStyle w:val="Lijstalinea"/>
        <w:numPr>
          <w:ilvl w:val="0"/>
          <w:numId w:val="1"/>
        </w:numPr>
      </w:pPr>
      <w:r w:rsidRPr="00D92812">
        <w:t>verkopen (en verhuren) van het ontwikkelde onroerend goed;</w:t>
      </w:r>
    </w:p>
    <w:p w14:paraId="2FCB5303" w14:textId="77777777" w:rsidR="00791442" w:rsidRPr="00D92812" w:rsidRDefault="00791442" w:rsidP="00D92812">
      <w:pPr>
        <w:pStyle w:val="Lijstalinea"/>
        <w:numPr>
          <w:ilvl w:val="0"/>
          <w:numId w:val="1"/>
        </w:numPr>
      </w:pPr>
      <w:r w:rsidRPr="00D92812">
        <w:t>Wanneer er sprake is van commercieel onroerend goed.</w:t>
      </w:r>
    </w:p>
    <w:p w14:paraId="20BF87DE" w14:textId="665FD88E" w:rsidR="00946D71" w:rsidRDefault="00E63BBB">
      <w:pPr>
        <w:rPr>
          <w:rFonts w:ascii="Arial" w:hAnsi="Arial" w:cs="Arial"/>
          <w:sz w:val="20"/>
          <w:szCs w:val="20"/>
        </w:rPr>
      </w:pPr>
      <w:r w:rsidRPr="004233C4">
        <w:rPr>
          <w:bCs/>
        </w:rPr>
        <w:t>Om de risico</w:t>
      </w:r>
      <w:r w:rsidR="00F3162F">
        <w:rPr>
          <w:bCs/>
        </w:rPr>
        <w:t>’</w:t>
      </w:r>
      <w:r w:rsidRPr="004233C4">
        <w:rPr>
          <w:bCs/>
        </w:rPr>
        <w:t>s rond</w:t>
      </w:r>
      <w:r w:rsidR="00F3162F">
        <w:rPr>
          <w:bCs/>
        </w:rPr>
        <w:t xml:space="preserve"> fraude, witwassen en</w:t>
      </w:r>
      <w:r w:rsidRPr="004233C4">
        <w:rPr>
          <w:bCs/>
        </w:rPr>
        <w:t xml:space="preserve"> corruptie te beheersen, is het belangrijk dat </w:t>
      </w:r>
      <w:r w:rsidR="00945360">
        <w:rPr>
          <w:bCs/>
        </w:rPr>
        <w:t>BPD weet met welke partijen</w:t>
      </w:r>
      <w:r w:rsidRPr="004233C4">
        <w:rPr>
          <w:bCs/>
        </w:rPr>
        <w:t xml:space="preserve"> contracten</w:t>
      </w:r>
      <w:r w:rsidR="00945360">
        <w:rPr>
          <w:bCs/>
        </w:rPr>
        <w:t xml:space="preserve"> worden gesloten</w:t>
      </w:r>
      <w:r w:rsidRPr="004233C4">
        <w:rPr>
          <w:bCs/>
        </w:rPr>
        <w:t>.</w:t>
      </w:r>
      <w:r>
        <w:rPr>
          <w:bCs/>
        </w:rPr>
        <w:t xml:space="preserve"> </w:t>
      </w:r>
      <w:r w:rsidRPr="004233C4">
        <w:rPr>
          <w:bCs/>
        </w:rPr>
        <w:t>Het BPDD-beleid van BPD is erop gericht om niet integer gedrag, waaronder financieel economische delicten, corruptie en omkoping</w:t>
      </w:r>
      <w:r>
        <w:rPr>
          <w:bCs/>
        </w:rPr>
        <w:t>,</w:t>
      </w:r>
      <w:r w:rsidRPr="004233C4">
        <w:rPr>
          <w:bCs/>
        </w:rPr>
        <w:t xml:space="preserve"> in al zijn vormen tegen te gaan en </w:t>
      </w:r>
      <w:r w:rsidR="000E0E1A">
        <w:rPr>
          <w:bCs/>
        </w:rPr>
        <w:t>accepteert</w:t>
      </w:r>
      <w:r w:rsidR="000E0E1A" w:rsidRPr="004233C4">
        <w:rPr>
          <w:bCs/>
        </w:rPr>
        <w:t xml:space="preserve"> </w:t>
      </w:r>
      <w:r w:rsidRPr="004233C4">
        <w:rPr>
          <w:bCs/>
        </w:rPr>
        <w:t xml:space="preserve">dit niet </w:t>
      </w:r>
      <w:r w:rsidR="000E0E1A">
        <w:rPr>
          <w:bCs/>
        </w:rPr>
        <w:t>van</w:t>
      </w:r>
      <w:r w:rsidRPr="004233C4">
        <w:rPr>
          <w:bCs/>
        </w:rPr>
        <w:t xml:space="preserve"> partijen waar BPD zaken mee doet. In dit verband streeft BPD bij al haar activiteiten naar de toepassing van hoge normen van eerlijkheid en integriteit, zoals ook vastgelegd in de </w:t>
      </w:r>
      <w:r>
        <w:rPr>
          <w:bCs/>
        </w:rPr>
        <w:t>BPD g</w:t>
      </w:r>
      <w:r w:rsidRPr="004233C4">
        <w:rPr>
          <w:bCs/>
        </w:rPr>
        <w:t>edragscode</w:t>
      </w:r>
      <w:r w:rsidR="00945143">
        <w:rPr>
          <w:bCs/>
        </w:rPr>
        <w:t>.</w:t>
      </w:r>
      <w:r w:rsidR="00946D71" w:rsidRPr="00946D71">
        <w:rPr>
          <w:rFonts w:ascii="Arial" w:hAnsi="Arial" w:cs="Arial"/>
          <w:sz w:val="20"/>
          <w:szCs w:val="20"/>
        </w:rPr>
        <w:t xml:space="preserve"> </w:t>
      </w:r>
    </w:p>
    <w:p w14:paraId="6ECC1AA6" w14:textId="45680768" w:rsidR="00946D71" w:rsidRDefault="00946D71">
      <w:pPr>
        <w:rPr>
          <w:bCs/>
        </w:rPr>
      </w:pPr>
      <w:r w:rsidRPr="00946D71">
        <w:rPr>
          <w:bCs/>
        </w:rPr>
        <w:t>Het verkrijgen van voldoende inzicht in de aard en activiteiten van (zakelijke) relaties van BPD</w:t>
      </w:r>
      <w:r w:rsidR="000E0E1A">
        <w:rPr>
          <w:bCs/>
        </w:rPr>
        <w:t>,</w:t>
      </w:r>
      <w:r w:rsidRPr="00946D71">
        <w:rPr>
          <w:bCs/>
        </w:rPr>
        <w:t xml:space="preserve"> vóórdat er een zakelijke overeenkomst wordt aangegaan, is noodzakelijk</w:t>
      </w:r>
      <w:r w:rsidR="000E0E1A">
        <w:rPr>
          <w:bCs/>
        </w:rPr>
        <w:t xml:space="preserve">, waarbij </w:t>
      </w:r>
      <w:r w:rsidRPr="00946D71">
        <w:rPr>
          <w:bCs/>
        </w:rPr>
        <w:t xml:space="preserve">BPDD </w:t>
      </w:r>
      <w:r w:rsidR="000E0E1A">
        <w:rPr>
          <w:bCs/>
        </w:rPr>
        <w:t xml:space="preserve">wordt uitgevoerd door middel van een risk based </w:t>
      </w:r>
      <w:r w:rsidRPr="00946D71">
        <w:rPr>
          <w:bCs/>
        </w:rPr>
        <w:t xml:space="preserve">benadering. BPDD leidt tot het </w:t>
      </w:r>
      <w:r w:rsidR="00025400">
        <w:rPr>
          <w:bCs/>
        </w:rPr>
        <w:t xml:space="preserve">inzichtelijk hebben en </w:t>
      </w:r>
      <w:r w:rsidRPr="00946D71">
        <w:rPr>
          <w:bCs/>
        </w:rPr>
        <w:t xml:space="preserve">adequaat beheersen van de </w:t>
      </w:r>
      <w:r w:rsidR="00025400">
        <w:rPr>
          <w:bCs/>
        </w:rPr>
        <w:t xml:space="preserve">mogelijke </w:t>
      </w:r>
      <w:r w:rsidRPr="00946D71">
        <w:rPr>
          <w:bCs/>
        </w:rPr>
        <w:t>risico’s die het zakendoen of samenwerken met (zakelijke) relaties met zich meebrengt. BPDD kan als zodanig worden beschouwd als een essentieel element van risicomanagement</w:t>
      </w:r>
      <w:r w:rsidR="00025400">
        <w:rPr>
          <w:bCs/>
        </w:rPr>
        <w:t xml:space="preserve"> binnen BPD</w:t>
      </w:r>
      <w:r w:rsidRPr="00946D71">
        <w:rPr>
          <w:bCs/>
        </w:rPr>
        <w:t>.</w:t>
      </w:r>
    </w:p>
    <w:p w14:paraId="27274BB1" w14:textId="640D8F70" w:rsidR="00945143" w:rsidRDefault="00946D71" w:rsidP="00946D71">
      <w:pPr>
        <w:spacing w:after="0"/>
        <w:rPr>
          <w:bCs/>
        </w:rPr>
      </w:pPr>
      <w:r>
        <w:rPr>
          <w:bCs/>
        </w:rPr>
        <w:lastRenderedPageBreak/>
        <w:t xml:space="preserve">Na het uitvoeren van een BPDD krijgt de getoetste organisatie een risico categorie aangewezen. Het BPDD beleid kent vier verschillende </w:t>
      </w:r>
      <w:r w:rsidR="00025400">
        <w:rPr>
          <w:bCs/>
        </w:rPr>
        <w:t xml:space="preserve">risico </w:t>
      </w:r>
      <w:r>
        <w:rPr>
          <w:bCs/>
        </w:rPr>
        <w:t>categorieën:</w:t>
      </w:r>
    </w:p>
    <w:p w14:paraId="298F82AB" w14:textId="77777777" w:rsidR="00946D71" w:rsidRDefault="00946D71" w:rsidP="00946D71">
      <w:pPr>
        <w:pStyle w:val="Lijstalinea"/>
        <w:numPr>
          <w:ilvl w:val="0"/>
          <w:numId w:val="1"/>
        </w:numPr>
      </w:pPr>
      <w:r>
        <w:t>Laag (herbeoordeling na 3 jaar)</w:t>
      </w:r>
    </w:p>
    <w:p w14:paraId="0194AAE6" w14:textId="77777777" w:rsidR="00946D71" w:rsidRDefault="00946D71" w:rsidP="00946D71">
      <w:pPr>
        <w:pStyle w:val="Lijstalinea"/>
        <w:numPr>
          <w:ilvl w:val="0"/>
          <w:numId w:val="1"/>
        </w:numPr>
      </w:pPr>
      <w:r>
        <w:t>Midden (herbeoordeling na 3 jaar)</w:t>
      </w:r>
    </w:p>
    <w:p w14:paraId="3F6CE5B0" w14:textId="77777777" w:rsidR="00946D71" w:rsidRDefault="00946D71" w:rsidP="00946D71">
      <w:pPr>
        <w:pStyle w:val="Lijstalinea"/>
        <w:numPr>
          <w:ilvl w:val="0"/>
          <w:numId w:val="1"/>
        </w:numPr>
      </w:pPr>
      <w:r>
        <w:t>Hoog (herbeoordeling na 1 jaar)</w:t>
      </w:r>
    </w:p>
    <w:p w14:paraId="4FB46A41" w14:textId="75C4936B" w:rsidR="00946D71" w:rsidRDefault="00946D71" w:rsidP="00946D71">
      <w:pPr>
        <w:pStyle w:val="Lijstalinea"/>
        <w:numPr>
          <w:ilvl w:val="0"/>
          <w:numId w:val="1"/>
        </w:numPr>
      </w:pPr>
      <w:r>
        <w:t>Onacceptabel (</w:t>
      </w:r>
      <w:r w:rsidR="00F3162F">
        <w:t xml:space="preserve">afscheid nemen van zakelijke partner en indien van toepassing </w:t>
      </w:r>
      <w:r>
        <w:t>herbeoordeling na</w:t>
      </w:r>
      <w:r w:rsidR="005E298E">
        <w:t xml:space="preserve"> 1 jaar of eerder afhankelijk</w:t>
      </w:r>
      <w:r>
        <w:t xml:space="preserve"> van de toegewezen beheersmaatregelen)</w:t>
      </w:r>
    </w:p>
    <w:p w14:paraId="575D1255" w14:textId="29EA73E7" w:rsidR="00946D71" w:rsidRDefault="00945360" w:rsidP="00946D71">
      <w:r>
        <w:t>Niet elke zakelijke partner hoeft op dezelfde manier beoordeeld te worden. Het BPDD</w:t>
      </w:r>
      <w:r w:rsidR="00895CCD">
        <w:t>-</w:t>
      </w:r>
      <w:r>
        <w:t xml:space="preserve">beleid kent verschillende risico protocollen en </w:t>
      </w:r>
      <w:r w:rsidR="00895CCD">
        <w:t>in</w:t>
      </w:r>
      <w:r>
        <w:t xml:space="preserve"> het</w:t>
      </w:r>
      <w:r w:rsidR="002905F2">
        <w:t xml:space="preserve"> </w:t>
      </w:r>
      <w:r>
        <w:t>volgende overzicht</w:t>
      </w:r>
      <w:r w:rsidR="00D92812">
        <w:t xml:space="preserve"> (afbeelding 1) </w:t>
      </w:r>
      <w:r>
        <w:t xml:space="preserve"> wordt het beleid visueel</w:t>
      </w:r>
      <w:r w:rsidR="002905F2">
        <w:t xml:space="preserve"> (</w:t>
      </w:r>
      <w:r w:rsidR="00895CCD">
        <w:t xml:space="preserve">en deels </w:t>
      </w:r>
      <w:r w:rsidR="002905F2">
        <w:t>met tekst)</w:t>
      </w:r>
      <w:r>
        <w:t xml:space="preserve"> uitgelegd. Meer details en uitzonderingsgevallen worde</w:t>
      </w:r>
      <w:r w:rsidR="00AC4CE0">
        <w:t>n</w:t>
      </w:r>
      <w:r>
        <w:t xml:space="preserve"> nader uitgelegd in het BPDD</w:t>
      </w:r>
      <w:r w:rsidR="00895CCD">
        <w:t>-</w:t>
      </w:r>
      <w:r>
        <w:t>beleid.</w:t>
      </w:r>
      <w:r w:rsidR="009F2BAA">
        <w:t xml:space="preserve"> Wanneer er uit de opgevraagde documentatie en overige controles een</w:t>
      </w:r>
      <w:r w:rsidR="00F3162F">
        <w:t xml:space="preserve"> integriteits-</w:t>
      </w:r>
      <w:r w:rsidR="009F2BAA">
        <w:t>signaal naar voren komt dan dient het eerstvolgende risico protocol ook doorlopen te worden.</w:t>
      </w:r>
      <w:r w:rsidR="00F3162F">
        <w:t xml:space="preserve"> </w:t>
      </w:r>
      <w:r w:rsidR="00D044DF">
        <w:t>Er is sprake van een integriteits-signaal wanneer het BPDD onderzoek wijst op een mogelijk integriteitsrisico zoals wanneer er sprake is van slecht nieuws, een complex</w:t>
      </w:r>
      <w:r w:rsidR="00056AF4">
        <w:t>e</w:t>
      </w:r>
      <w:r w:rsidR="00D044DF">
        <w:t xml:space="preserve"> organisatie/</w:t>
      </w:r>
      <w:r w:rsidR="004C30F9">
        <w:t xml:space="preserve"> </w:t>
      </w:r>
      <w:r w:rsidR="00D044DF">
        <w:t xml:space="preserve">UBO structuur of een melding uit de </w:t>
      </w:r>
      <w:r w:rsidR="00A56719">
        <w:t xml:space="preserve">extern </w:t>
      </w:r>
      <w:r w:rsidR="00D044DF">
        <w:t xml:space="preserve">getoetste bronnen zoals </w:t>
      </w:r>
      <w:r w:rsidR="00A56719">
        <w:t xml:space="preserve">de </w:t>
      </w:r>
      <w:r w:rsidR="00A56719" w:rsidRPr="00D92812">
        <w:t>Externe Verwijzingsapplicatie (EVA) en het Verificatie Informatie Systeem (VIS).</w:t>
      </w:r>
    </w:p>
    <w:p w14:paraId="226D2AE7" w14:textId="6967AF2E" w:rsidR="00D92812" w:rsidRDefault="00D92812" w:rsidP="00946D71">
      <w:r>
        <w:t>Afbeelding 2 geeft schematisch weer wat er wanneer opgevraagd dient te worden.</w:t>
      </w:r>
    </w:p>
    <w:p w14:paraId="568B94F4" w14:textId="5A713FC5" w:rsidR="00D92812" w:rsidRDefault="00D92812" w:rsidP="00946D71">
      <w:r>
        <w:t>Tot slot is BPD Compliance momenteel bezig met het verbeteren/aanpassen van het BPDD beleid. De hier beschreven processen zijn daarom wellicht onderhevig aan verandering.</w:t>
      </w:r>
    </w:p>
    <w:p w14:paraId="7F22E156" w14:textId="77777777" w:rsidR="00480909" w:rsidRDefault="00480909" w:rsidP="00480909">
      <w:pPr>
        <w:spacing w:after="0"/>
      </w:pPr>
    </w:p>
    <w:p w14:paraId="409B7A3A" w14:textId="77777777" w:rsidR="00D92812" w:rsidRDefault="00D92812" w:rsidP="00480909">
      <w:pPr>
        <w:spacing w:after="0"/>
      </w:pPr>
    </w:p>
    <w:p w14:paraId="2D504C11" w14:textId="77777777" w:rsidR="00D92812" w:rsidRDefault="00D92812" w:rsidP="00480909">
      <w:pPr>
        <w:spacing w:after="0"/>
      </w:pPr>
    </w:p>
    <w:p w14:paraId="49897E45" w14:textId="77777777" w:rsidR="00D92812" w:rsidRDefault="00D92812" w:rsidP="00480909">
      <w:pPr>
        <w:spacing w:after="0"/>
      </w:pPr>
    </w:p>
    <w:p w14:paraId="266AE04C" w14:textId="77777777" w:rsidR="00D92812" w:rsidRDefault="00D92812" w:rsidP="00480909">
      <w:pPr>
        <w:spacing w:after="0"/>
      </w:pPr>
    </w:p>
    <w:p w14:paraId="3B4FECF4" w14:textId="77777777" w:rsidR="00D92812" w:rsidRDefault="00D92812" w:rsidP="00480909">
      <w:pPr>
        <w:spacing w:after="0"/>
      </w:pPr>
    </w:p>
    <w:p w14:paraId="76F3A390" w14:textId="77777777" w:rsidR="00D92812" w:rsidRDefault="00D92812" w:rsidP="00480909">
      <w:pPr>
        <w:spacing w:after="0"/>
      </w:pPr>
    </w:p>
    <w:p w14:paraId="7805B2D2" w14:textId="77777777" w:rsidR="00D92812" w:rsidRDefault="00D92812" w:rsidP="00480909">
      <w:pPr>
        <w:spacing w:after="0"/>
      </w:pPr>
    </w:p>
    <w:p w14:paraId="523C560E" w14:textId="77777777" w:rsidR="00D92812" w:rsidRDefault="00D92812" w:rsidP="00480909">
      <w:pPr>
        <w:spacing w:after="0"/>
      </w:pPr>
    </w:p>
    <w:p w14:paraId="6FE61491" w14:textId="77777777" w:rsidR="00D92812" w:rsidRDefault="00D92812" w:rsidP="00480909">
      <w:pPr>
        <w:spacing w:after="0"/>
      </w:pPr>
    </w:p>
    <w:p w14:paraId="411CE325" w14:textId="77777777" w:rsidR="00D92812" w:rsidRDefault="00D92812" w:rsidP="00480909">
      <w:pPr>
        <w:spacing w:after="0"/>
      </w:pPr>
    </w:p>
    <w:p w14:paraId="7926C910" w14:textId="77777777" w:rsidR="00D92812" w:rsidRDefault="00D92812" w:rsidP="00480909">
      <w:pPr>
        <w:spacing w:after="0"/>
      </w:pPr>
    </w:p>
    <w:p w14:paraId="6F4F44E5" w14:textId="77777777" w:rsidR="00D92812" w:rsidRDefault="00D92812" w:rsidP="00480909">
      <w:pPr>
        <w:spacing w:after="0"/>
      </w:pPr>
    </w:p>
    <w:p w14:paraId="234D98DC" w14:textId="77777777" w:rsidR="00D92812" w:rsidRDefault="00D92812" w:rsidP="00480909">
      <w:pPr>
        <w:spacing w:after="0"/>
      </w:pPr>
    </w:p>
    <w:p w14:paraId="0025C13C" w14:textId="437C90C9" w:rsidR="00480909" w:rsidRDefault="002905F2" w:rsidP="00480909">
      <w:pPr>
        <w:spacing w:after="0"/>
      </w:pPr>
      <w:bookmarkStart w:id="0" w:name="_GoBack"/>
      <w:bookmarkEnd w:id="0"/>
      <w:r>
        <w:lastRenderedPageBreak/>
        <w:t>Afbeelding 1: BPDD beleid visueel</w:t>
      </w:r>
    </w:p>
    <w:p w14:paraId="242F9E53" w14:textId="77777777" w:rsidR="00480909" w:rsidRDefault="00480909" w:rsidP="00480909">
      <w:pPr>
        <w:spacing w:after="0"/>
      </w:pPr>
    </w:p>
    <w:p w14:paraId="51D9958A" w14:textId="77777777" w:rsidR="00480909" w:rsidRDefault="00480909" w:rsidP="00480909">
      <w:pPr>
        <w:spacing w:after="0"/>
      </w:pPr>
    </w:p>
    <w:p w14:paraId="234AC299" w14:textId="77BB1BCA" w:rsidR="00480909" w:rsidRDefault="00AB37C8" w:rsidP="00480909">
      <w:pPr>
        <w:spacing w:after="0"/>
      </w:pPr>
      <w:r>
        <w:rPr>
          <w:noProof/>
          <w:lang w:eastAsia="nl-NL"/>
        </w:rPr>
        <w:drawing>
          <wp:inline distT="0" distB="0" distL="0" distR="0" wp14:anchorId="237B4820" wp14:editId="6CF8C7BB">
            <wp:extent cx="8997848" cy="4626143"/>
            <wp:effectExtent l="0" t="0" r="0" b="317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9012671" cy="4633764"/>
                    </a:xfrm>
                    <a:prstGeom prst="rect">
                      <a:avLst/>
                    </a:prstGeom>
                  </pic:spPr>
                </pic:pic>
              </a:graphicData>
            </a:graphic>
          </wp:inline>
        </w:drawing>
      </w:r>
    </w:p>
    <w:p w14:paraId="06183DE7" w14:textId="77777777" w:rsidR="00480909" w:rsidRDefault="00480909" w:rsidP="00480909">
      <w:pPr>
        <w:spacing w:after="0"/>
      </w:pPr>
    </w:p>
    <w:p w14:paraId="6B0B83FB" w14:textId="77777777" w:rsidR="00480909" w:rsidRDefault="00480909" w:rsidP="00480909">
      <w:pPr>
        <w:spacing w:after="0"/>
      </w:pPr>
    </w:p>
    <w:p w14:paraId="3007D776" w14:textId="77777777" w:rsidR="00D92812" w:rsidRDefault="00D92812" w:rsidP="00480909">
      <w:pPr>
        <w:spacing w:after="0"/>
      </w:pPr>
    </w:p>
    <w:p w14:paraId="33D335D0" w14:textId="49B85419" w:rsidR="00480909" w:rsidRDefault="002905F2" w:rsidP="00480909">
      <w:pPr>
        <w:spacing w:after="0"/>
      </w:pPr>
      <w:r>
        <w:lastRenderedPageBreak/>
        <w:t>Afbeelding 2: Welke docume</w:t>
      </w:r>
      <w:r w:rsidR="00953153">
        <w:t>ntatie wordt wanneer opgevraagd</w:t>
      </w:r>
    </w:p>
    <w:p w14:paraId="3F7F1B7F" w14:textId="77777777" w:rsidR="00D92812" w:rsidRDefault="00D92812" w:rsidP="00480909">
      <w:pPr>
        <w:spacing w:after="0"/>
      </w:pPr>
    </w:p>
    <w:tbl>
      <w:tblPr>
        <w:tblW w:w="13960" w:type="dxa"/>
        <w:tblCellMar>
          <w:left w:w="70" w:type="dxa"/>
          <w:right w:w="70" w:type="dxa"/>
        </w:tblCellMar>
        <w:tblLook w:val="04A0" w:firstRow="1" w:lastRow="0" w:firstColumn="1" w:lastColumn="0" w:noHBand="0" w:noVBand="1"/>
      </w:tblPr>
      <w:tblGrid>
        <w:gridCol w:w="2760"/>
        <w:gridCol w:w="2040"/>
        <w:gridCol w:w="9160"/>
      </w:tblGrid>
      <w:tr w:rsidR="00953153" w:rsidRPr="00953153" w14:paraId="743E84F0" w14:textId="77777777" w:rsidTr="00953153">
        <w:trPr>
          <w:trHeight w:val="285"/>
        </w:trPr>
        <w:tc>
          <w:tcPr>
            <w:tcW w:w="2760" w:type="dxa"/>
            <w:tcBorders>
              <w:top w:val="nil"/>
              <w:left w:val="nil"/>
              <w:bottom w:val="single" w:sz="12" w:space="0" w:color="FFFFFF"/>
              <w:right w:val="single" w:sz="4" w:space="0" w:color="FFFFFF"/>
            </w:tcBorders>
            <w:shd w:val="clear" w:color="000000" w:fill="BDD7EE"/>
            <w:noWrap/>
            <w:hideMark/>
          </w:tcPr>
          <w:p w14:paraId="48C42954" w14:textId="77777777" w:rsidR="00953153" w:rsidRPr="00953153" w:rsidRDefault="00953153" w:rsidP="00953153">
            <w:pPr>
              <w:spacing w:after="0" w:line="240" w:lineRule="auto"/>
              <w:rPr>
                <w:rFonts w:ascii="Calibri" w:eastAsia="Times New Roman" w:hAnsi="Calibri" w:cs="Calibri"/>
                <w:b/>
                <w:bCs/>
                <w:color w:val="000000"/>
                <w:sz w:val="20"/>
                <w:szCs w:val="20"/>
                <w:lang w:eastAsia="nl-NL"/>
              </w:rPr>
            </w:pPr>
            <w:r w:rsidRPr="00953153">
              <w:rPr>
                <w:rFonts w:ascii="Calibri" w:eastAsia="Times New Roman" w:hAnsi="Calibri" w:cs="Calibri"/>
                <w:b/>
                <w:bCs/>
                <w:color w:val="000000"/>
                <w:sz w:val="20"/>
                <w:szCs w:val="20"/>
                <w:lang w:eastAsia="nl-NL"/>
              </w:rPr>
              <w:t>Documentatie</w:t>
            </w:r>
          </w:p>
        </w:tc>
        <w:tc>
          <w:tcPr>
            <w:tcW w:w="2040" w:type="dxa"/>
            <w:tcBorders>
              <w:top w:val="nil"/>
              <w:left w:val="single" w:sz="4" w:space="0" w:color="FFFFFF"/>
              <w:bottom w:val="single" w:sz="12" w:space="0" w:color="FFFFFF"/>
              <w:right w:val="single" w:sz="4" w:space="0" w:color="FFFFFF"/>
            </w:tcBorders>
            <w:shd w:val="clear" w:color="000000" w:fill="BDD7EE"/>
            <w:hideMark/>
          </w:tcPr>
          <w:p w14:paraId="28726145" w14:textId="77777777" w:rsidR="00953153" w:rsidRPr="00953153" w:rsidRDefault="00953153" w:rsidP="00953153">
            <w:pPr>
              <w:spacing w:after="0" w:line="240" w:lineRule="auto"/>
              <w:rPr>
                <w:rFonts w:ascii="Calibri" w:eastAsia="Times New Roman" w:hAnsi="Calibri" w:cs="Calibri"/>
                <w:b/>
                <w:bCs/>
                <w:color w:val="000000"/>
                <w:sz w:val="20"/>
                <w:szCs w:val="20"/>
                <w:lang w:eastAsia="nl-NL"/>
              </w:rPr>
            </w:pPr>
            <w:r w:rsidRPr="00953153">
              <w:rPr>
                <w:rFonts w:ascii="Calibri" w:eastAsia="Times New Roman" w:hAnsi="Calibri" w:cs="Calibri"/>
                <w:b/>
                <w:bCs/>
                <w:color w:val="000000"/>
                <w:sz w:val="20"/>
                <w:szCs w:val="20"/>
                <w:lang w:eastAsia="nl-NL"/>
              </w:rPr>
              <w:t>Met welk protocol</w:t>
            </w:r>
          </w:p>
        </w:tc>
        <w:tc>
          <w:tcPr>
            <w:tcW w:w="9160" w:type="dxa"/>
            <w:tcBorders>
              <w:top w:val="nil"/>
              <w:left w:val="single" w:sz="4" w:space="0" w:color="FFFFFF"/>
              <w:bottom w:val="single" w:sz="12" w:space="0" w:color="FFFFFF"/>
              <w:right w:val="nil"/>
            </w:tcBorders>
            <w:shd w:val="clear" w:color="000000" w:fill="BDD7EE"/>
            <w:noWrap/>
            <w:hideMark/>
          </w:tcPr>
          <w:p w14:paraId="470A612B" w14:textId="77777777" w:rsidR="00953153" w:rsidRPr="00953153" w:rsidRDefault="00953153" w:rsidP="00953153">
            <w:pPr>
              <w:spacing w:after="0" w:line="240" w:lineRule="auto"/>
              <w:rPr>
                <w:rFonts w:ascii="Calibri" w:eastAsia="Times New Roman" w:hAnsi="Calibri" w:cs="Calibri"/>
                <w:b/>
                <w:bCs/>
                <w:color w:val="000000"/>
                <w:sz w:val="20"/>
                <w:szCs w:val="20"/>
                <w:lang w:eastAsia="nl-NL"/>
              </w:rPr>
            </w:pPr>
            <w:r w:rsidRPr="00953153">
              <w:rPr>
                <w:rFonts w:ascii="Calibri" w:eastAsia="Times New Roman" w:hAnsi="Calibri" w:cs="Calibri"/>
                <w:b/>
                <w:bCs/>
                <w:color w:val="000000"/>
                <w:sz w:val="20"/>
                <w:szCs w:val="20"/>
                <w:lang w:eastAsia="nl-NL"/>
              </w:rPr>
              <w:t>Opmerkingen</w:t>
            </w:r>
          </w:p>
        </w:tc>
      </w:tr>
      <w:tr w:rsidR="00953153" w:rsidRPr="00953153" w14:paraId="40C81095" w14:textId="77777777" w:rsidTr="00953153">
        <w:trPr>
          <w:trHeight w:val="788"/>
        </w:trPr>
        <w:tc>
          <w:tcPr>
            <w:tcW w:w="2760" w:type="dxa"/>
            <w:tcBorders>
              <w:top w:val="single" w:sz="4" w:space="0" w:color="FFFFFF"/>
              <w:left w:val="nil"/>
              <w:bottom w:val="single" w:sz="4" w:space="0" w:color="FFFFFF"/>
              <w:right w:val="single" w:sz="4" w:space="0" w:color="FFFFFF"/>
            </w:tcBorders>
            <w:shd w:val="clear" w:color="F8CBAD" w:fill="F8CBAD"/>
            <w:noWrap/>
            <w:hideMark/>
          </w:tcPr>
          <w:p w14:paraId="1D7ECE9F"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Kopie identificatiebewijs</w:t>
            </w:r>
            <w:r>
              <w:rPr>
                <w:rFonts w:ascii="Calibri" w:eastAsia="Times New Roman" w:hAnsi="Calibri" w:cs="Calibri"/>
                <w:b/>
                <w:color w:val="000000"/>
                <w:sz w:val="20"/>
                <w:szCs w:val="20"/>
                <w:lang w:eastAsia="nl-NL"/>
              </w:rPr>
              <w:t>*</w:t>
            </w:r>
          </w:p>
        </w:tc>
        <w:tc>
          <w:tcPr>
            <w:tcW w:w="2040" w:type="dxa"/>
            <w:tcBorders>
              <w:top w:val="single" w:sz="4" w:space="0" w:color="FFFFFF"/>
              <w:left w:val="single" w:sz="4" w:space="0" w:color="FFFFFF"/>
              <w:bottom w:val="single" w:sz="4" w:space="0" w:color="FFFFFF"/>
              <w:right w:val="single" w:sz="4" w:space="0" w:color="FFFFFF"/>
            </w:tcBorders>
            <w:shd w:val="clear" w:color="F8CBAD" w:fill="F8CBAD"/>
            <w:hideMark/>
          </w:tcPr>
          <w:p w14:paraId="24C95EBD" w14:textId="0AFB7A66"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Laag, normaal</w:t>
            </w:r>
            <w:r w:rsidR="00AB37C8">
              <w:rPr>
                <w:rFonts w:ascii="Calibri" w:eastAsia="Times New Roman" w:hAnsi="Calibri" w:cs="Calibri"/>
                <w:b/>
                <w:color w:val="000000"/>
                <w:sz w:val="20"/>
                <w:szCs w:val="20"/>
                <w:lang w:eastAsia="nl-NL"/>
              </w:rPr>
              <w:t xml:space="preserve"> en</w:t>
            </w:r>
            <w:r w:rsidRPr="00953153">
              <w:rPr>
                <w:rFonts w:ascii="Calibri" w:eastAsia="Times New Roman" w:hAnsi="Calibri" w:cs="Calibri"/>
                <w:b/>
                <w:color w:val="000000"/>
                <w:sz w:val="20"/>
                <w:szCs w:val="20"/>
                <w:lang w:eastAsia="nl-NL"/>
              </w:rPr>
              <w:t xml:space="preserve"> hoog </w:t>
            </w:r>
          </w:p>
        </w:tc>
        <w:tc>
          <w:tcPr>
            <w:tcW w:w="9160" w:type="dxa"/>
            <w:tcBorders>
              <w:top w:val="single" w:sz="4" w:space="0" w:color="FFFFFF"/>
              <w:left w:val="single" w:sz="4" w:space="0" w:color="FFFFFF"/>
              <w:bottom w:val="single" w:sz="4" w:space="0" w:color="FFFFFF"/>
              <w:right w:val="nil"/>
            </w:tcBorders>
            <w:shd w:val="clear" w:color="F8CBAD" w:fill="F8CBAD"/>
            <w:hideMark/>
          </w:tcPr>
          <w:p w14:paraId="5C443C3E" w14:textId="6C935B0B"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Met uitzondering van onder andere: Een in Nederland, een andere EER-lidstaat, of een door de minister aangewezen gelijkwaardige staat gezetelde en vergunning houdende instelling, Beursgenoteerde instellingen, Nederlandse overheidsinstanties en EU-instellingen (meer detail in BPDD beleid)</w:t>
            </w:r>
          </w:p>
        </w:tc>
      </w:tr>
      <w:tr w:rsidR="00953153" w:rsidRPr="00953153" w14:paraId="098EB64C" w14:textId="77777777" w:rsidTr="00953153">
        <w:trPr>
          <w:trHeight w:val="525"/>
        </w:trPr>
        <w:tc>
          <w:tcPr>
            <w:tcW w:w="2760" w:type="dxa"/>
            <w:tcBorders>
              <w:top w:val="single" w:sz="4" w:space="0" w:color="FFFFFF"/>
              <w:left w:val="nil"/>
              <w:bottom w:val="single" w:sz="4" w:space="0" w:color="FFFFFF"/>
              <w:right w:val="single" w:sz="4" w:space="0" w:color="FFFFFF"/>
            </w:tcBorders>
            <w:shd w:val="clear" w:color="FCE4D6" w:fill="FCE4D6"/>
            <w:noWrap/>
            <w:hideMark/>
          </w:tcPr>
          <w:p w14:paraId="5630F9D9"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Verificatie identificatiebewijs</w:t>
            </w:r>
          </w:p>
        </w:tc>
        <w:tc>
          <w:tcPr>
            <w:tcW w:w="2040" w:type="dxa"/>
            <w:tcBorders>
              <w:top w:val="single" w:sz="4" w:space="0" w:color="FFFFFF"/>
              <w:left w:val="single" w:sz="4" w:space="0" w:color="FFFFFF"/>
              <w:bottom w:val="single" w:sz="4" w:space="0" w:color="FFFFFF"/>
              <w:right w:val="single" w:sz="4" w:space="0" w:color="FFFFFF"/>
            </w:tcBorders>
            <w:shd w:val="clear" w:color="FCE4D6" w:fill="FCE4D6"/>
            <w:hideMark/>
          </w:tcPr>
          <w:p w14:paraId="2FEDCBE1"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Hoog</w:t>
            </w:r>
          </w:p>
        </w:tc>
        <w:tc>
          <w:tcPr>
            <w:tcW w:w="9160" w:type="dxa"/>
            <w:tcBorders>
              <w:top w:val="single" w:sz="4" w:space="0" w:color="FFFFFF"/>
              <w:left w:val="single" w:sz="4" w:space="0" w:color="FFFFFF"/>
              <w:bottom w:val="single" w:sz="4" w:space="0" w:color="FFFFFF"/>
              <w:right w:val="nil"/>
            </w:tcBorders>
            <w:shd w:val="clear" w:color="FCE4D6" w:fill="FCE4D6"/>
            <w:hideMark/>
          </w:tcPr>
          <w:p w14:paraId="50B34C9B" w14:textId="6C18937A"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Dit kan middels een 'face to face' verificatie en in uitzonderingsgevallen via een derde middels bijvoorbeeld een verklaring van een notaris of advocaat</w:t>
            </w:r>
          </w:p>
        </w:tc>
      </w:tr>
      <w:tr w:rsidR="00953153" w:rsidRPr="00953153" w14:paraId="1DF663FB" w14:textId="77777777" w:rsidTr="00953153">
        <w:trPr>
          <w:trHeight w:val="525"/>
        </w:trPr>
        <w:tc>
          <w:tcPr>
            <w:tcW w:w="2760" w:type="dxa"/>
            <w:tcBorders>
              <w:top w:val="single" w:sz="4" w:space="0" w:color="FFFFFF"/>
              <w:left w:val="nil"/>
              <w:bottom w:val="single" w:sz="4" w:space="0" w:color="FFFFFF"/>
              <w:right w:val="single" w:sz="4" w:space="0" w:color="FFFFFF"/>
            </w:tcBorders>
            <w:shd w:val="clear" w:color="F8CBAD" w:fill="F8CBAD"/>
            <w:noWrap/>
            <w:hideMark/>
          </w:tcPr>
          <w:p w14:paraId="42F428DF"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UBO formulier</w:t>
            </w:r>
            <w:r>
              <w:rPr>
                <w:rFonts w:ascii="Calibri" w:eastAsia="Times New Roman" w:hAnsi="Calibri" w:cs="Calibri"/>
                <w:b/>
                <w:color w:val="000000"/>
                <w:sz w:val="20"/>
                <w:szCs w:val="20"/>
                <w:lang w:eastAsia="nl-NL"/>
              </w:rPr>
              <w:t>*</w:t>
            </w:r>
          </w:p>
        </w:tc>
        <w:tc>
          <w:tcPr>
            <w:tcW w:w="2040" w:type="dxa"/>
            <w:tcBorders>
              <w:top w:val="single" w:sz="4" w:space="0" w:color="FFFFFF"/>
              <w:left w:val="single" w:sz="4" w:space="0" w:color="FFFFFF"/>
              <w:bottom w:val="single" w:sz="4" w:space="0" w:color="FFFFFF"/>
              <w:right w:val="single" w:sz="4" w:space="0" w:color="FFFFFF"/>
            </w:tcBorders>
            <w:shd w:val="clear" w:color="F8CBAD" w:fill="F8CBAD"/>
            <w:hideMark/>
          </w:tcPr>
          <w:p w14:paraId="2BD0D3BF"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Optioneel en hoog</w:t>
            </w:r>
          </w:p>
        </w:tc>
        <w:tc>
          <w:tcPr>
            <w:tcW w:w="9160" w:type="dxa"/>
            <w:tcBorders>
              <w:top w:val="single" w:sz="4" w:space="0" w:color="FFFFFF"/>
              <w:left w:val="single" w:sz="4" w:space="0" w:color="FFFFFF"/>
              <w:bottom w:val="single" w:sz="4" w:space="0" w:color="FFFFFF"/>
              <w:right w:val="nil"/>
            </w:tcBorders>
            <w:shd w:val="clear" w:color="F8CBAD" w:fill="F8CBAD"/>
            <w:hideMark/>
          </w:tcPr>
          <w:p w14:paraId="05580CF9" w14:textId="05DEB17A"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Wanneer uit de structuur geen UBO gehaald kan worden. Met hoog risico wordt er altijd een UBO formulier meegestuurd naar de zakelijke partner</w:t>
            </w:r>
          </w:p>
        </w:tc>
      </w:tr>
      <w:tr w:rsidR="00953153" w:rsidRPr="00953153" w14:paraId="7A5F37BE" w14:textId="77777777" w:rsidTr="00953153">
        <w:trPr>
          <w:trHeight w:val="788"/>
        </w:trPr>
        <w:tc>
          <w:tcPr>
            <w:tcW w:w="2760" w:type="dxa"/>
            <w:tcBorders>
              <w:top w:val="single" w:sz="4" w:space="0" w:color="FFFFFF"/>
              <w:left w:val="nil"/>
              <w:bottom w:val="single" w:sz="4" w:space="0" w:color="FFFFFF"/>
              <w:right w:val="single" w:sz="4" w:space="0" w:color="FFFFFF"/>
            </w:tcBorders>
            <w:shd w:val="clear" w:color="FCE4D6" w:fill="FCE4D6"/>
            <w:noWrap/>
            <w:hideMark/>
          </w:tcPr>
          <w:p w14:paraId="10665E84"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Structuur</w:t>
            </w:r>
            <w:r>
              <w:rPr>
                <w:rFonts w:ascii="Calibri" w:eastAsia="Times New Roman" w:hAnsi="Calibri" w:cs="Calibri"/>
                <w:b/>
                <w:color w:val="000000"/>
                <w:sz w:val="20"/>
                <w:szCs w:val="20"/>
                <w:lang w:eastAsia="nl-NL"/>
              </w:rPr>
              <w:t>*</w:t>
            </w:r>
          </w:p>
        </w:tc>
        <w:tc>
          <w:tcPr>
            <w:tcW w:w="2040" w:type="dxa"/>
            <w:tcBorders>
              <w:top w:val="single" w:sz="4" w:space="0" w:color="FFFFFF"/>
              <w:left w:val="single" w:sz="4" w:space="0" w:color="FFFFFF"/>
              <w:bottom w:val="single" w:sz="4" w:space="0" w:color="FFFFFF"/>
              <w:right w:val="single" w:sz="4" w:space="0" w:color="FFFFFF"/>
            </w:tcBorders>
            <w:shd w:val="clear" w:color="FCE4D6" w:fill="FCE4D6"/>
            <w:hideMark/>
          </w:tcPr>
          <w:p w14:paraId="4244A89F"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Optioneel bij normaal en hoog</w:t>
            </w:r>
          </w:p>
        </w:tc>
        <w:tc>
          <w:tcPr>
            <w:tcW w:w="9160" w:type="dxa"/>
            <w:tcBorders>
              <w:top w:val="single" w:sz="4" w:space="0" w:color="FFFFFF"/>
              <w:left w:val="single" w:sz="4" w:space="0" w:color="FFFFFF"/>
              <w:bottom w:val="single" w:sz="4" w:space="0" w:color="FFFFFF"/>
              <w:right w:val="nil"/>
            </w:tcBorders>
            <w:shd w:val="clear" w:color="FCE4D6" w:fill="FCE4D6"/>
            <w:hideMark/>
          </w:tcPr>
          <w:p w14:paraId="5F05BE37"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Wanneer de structuur onduidelijk of complex is (complex betekent bijvoorbeeld meer dan drie lagen in structuur, een STAK in de structuur, sprake van meerdere wijzigingen of buitenlandse entiteiten) kan er een om een getekende en gedateerde organigram worden gevraagd</w:t>
            </w:r>
          </w:p>
        </w:tc>
      </w:tr>
      <w:tr w:rsidR="00953153" w:rsidRPr="00953153" w14:paraId="159E3AD2" w14:textId="77777777" w:rsidTr="00953153">
        <w:trPr>
          <w:trHeight w:val="525"/>
        </w:trPr>
        <w:tc>
          <w:tcPr>
            <w:tcW w:w="2760" w:type="dxa"/>
            <w:tcBorders>
              <w:top w:val="single" w:sz="4" w:space="0" w:color="FFFFFF"/>
              <w:left w:val="nil"/>
              <w:bottom w:val="single" w:sz="4" w:space="0" w:color="FFFFFF"/>
              <w:right w:val="single" w:sz="4" w:space="0" w:color="FFFFFF"/>
            </w:tcBorders>
            <w:shd w:val="clear" w:color="F8CBAD" w:fill="F8CBAD"/>
            <w:noWrap/>
            <w:hideMark/>
          </w:tcPr>
          <w:p w14:paraId="31EA6637"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Formulier Zakelijk Vastgoed</w:t>
            </w:r>
            <w:r>
              <w:rPr>
                <w:rFonts w:ascii="Calibri" w:eastAsia="Times New Roman" w:hAnsi="Calibri" w:cs="Calibri"/>
                <w:b/>
                <w:color w:val="000000"/>
                <w:sz w:val="20"/>
                <w:szCs w:val="20"/>
                <w:lang w:eastAsia="nl-NL"/>
              </w:rPr>
              <w:t>*</w:t>
            </w:r>
          </w:p>
        </w:tc>
        <w:tc>
          <w:tcPr>
            <w:tcW w:w="2040" w:type="dxa"/>
            <w:tcBorders>
              <w:top w:val="single" w:sz="4" w:space="0" w:color="FFFFFF"/>
              <w:left w:val="single" w:sz="4" w:space="0" w:color="FFFFFF"/>
              <w:bottom w:val="single" w:sz="4" w:space="0" w:color="FFFFFF"/>
              <w:right w:val="single" w:sz="4" w:space="0" w:color="FFFFFF"/>
            </w:tcBorders>
            <w:shd w:val="clear" w:color="F8CBAD" w:fill="F8CBAD"/>
            <w:hideMark/>
          </w:tcPr>
          <w:p w14:paraId="08601EEE"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Hoog met zakelijke vastgoedactiviteit</w:t>
            </w:r>
          </w:p>
        </w:tc>
        <w:tc>
          <w:tcPr>
            <w:tcW w:w="9160" w:type="dxa"/>
            <w:tcBorders>
              <w:top w:val="single" w:sz="4" w:space="0" w:color="FFFFFF"/>
              <w:left w:val="single" w:sz="4" w:space="0" w:color="FFFFFF"/>
              <w:bottom w:val="single" w:sz="4" w:space="0" w:color="FFFFFF"/>
              <w:right w:val="nil"/>
            </w:tcBorders>
            <w:shd w:val="clear" w:color="F8CBAD" w:fill="F8CBAD"/>
            <w:hideMark/>
          </w:tcPr>
          <w:p w14:paraId="6A8F46DB"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 xml:space="preserve">Wanneer er sprake is van hoog risico omdat de organisatie  zakelijk vastgoed activiteiten ontplooit, wordt er een formulier zakelijk vastgoed meegestuurd naar de zakelijke partner. </w:t>
            </w:r>
          </w:p>
        </w:tc>
      </w:tr>
      <w:tr w:rsidR="00953153" w:rsidRPr="00953153" w14:paraId="5E992B6A" w14:textId="77777777" w:rsidTr="00953153">
        <w:trPr>
          <w:trHeight w:val="788"/>
        </w:trPr>
        <w:tc>
          <w:tcPr>
            <w:tcW w:w="2760" w:type="dxa"/>
            <w:tcBorders>
              <w:top w:val="single" w:sz="4" w:space="0" w:color="FFFFFF"/>
              <w:left w:val="nil"/>
              <w:bottom w:val="single" w:sz="4" w:space="0" w:color="FFFFFF"/>
              <w:right w:val="single" w:sz="4" w:space="0" w:color="FFFFFF"/>
            </w:tcBorders>
            <w:shd w:val="clear" w:color="FCE4D6" w:fill="FCE4D6"/>
            <w:noWrap/>
            <w:hideMark/>
          </w:tcPr>
          <w:p w14:paraId="7243360B"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Kadaster check</w:t>
            </w:r>
          </w:p>
        </w:tc>
        <w:tc>
          <w:tcPr>
            <w:tcW w:w="2040" w:type="dxa"/>
            <w:tcBorders>
              <w:top w:val="single" w:sz="4" w:space="0" w:color="FFFFFF"/>
              <w:left w:val="single" w:sz="4" w:space="0" w:color="FFFFFF"/>
              <w:bottom w:val="single" w:sz="4" w:space="0" w:color="FFFFFF"/>
              <w:right w:val="single" w:sz="4" w:space="0" w:color="FFFFFF"/>
            </w:tcBorders>
            <w:shd w:val="clear" w:color="FCE4D6" w:fill="FCE4D6"/>
            <w:hideMark/>
          </w:tcPr>
          <w:p w14:paraId="177D4733"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Wanneer van toepassing met normaal en hoog</w:t>
            </w:r>
          </w:p>
        </w:tc>
        <w:tc>
          <w:tcPr>
            <w:tcW w:w="9160" w:type="dxa"/>
            <w:tcBorders>
              <w:top w:val="single" w:sz="4" w:space="0" w:color="FFFFFF"/>
              <w:left w:val="single" w:sz="4" w:space="0" w:color="FFFFFF"/>
              <w:bottom w:val="single" w:sz="4" w:space="0" w:color="FFFFFF"/>
              <w:right w:val="nil"/>
            </w:tcBorders>
            <w:shd w:val="clear" w:color="FCE4D6" w:fill="FCE4D6"/>
            <w:noWrap/>
            <w:hideMark/>
          </w:tcPr>
          <w:p w14:paraId="3C21251A"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Wanneer er sprake is van een door BPD aankoop van onroerend goed</w:t>
            </w:r>
          </w:p>
        </w:tc>
      </w:tr>
      <w:tr w:rsidR="00953153" w:rsidRPr="00953153" w14:paraId="549B6A4F" w14:textId="77777777" w:rsidTr="00953153">
        <w:trPr>
          <w:trHeight w:val="525"/>
        </w:trPr>
        <w:tc>
          <w:tcPr>
            <w:tcW w:w="2760" w:type="dxa"/>
            <w:tcBorders>
              <w:top w:val="single" w:sz="4" w:space="0" w:color="FFFFFF"/>
              <w:left w:val="nil"/>
              <w:bottom w:val="single" w:sz="4" w:space="0" w:color="FFFFFF"/>
              <w:right w:val="single" w:sz="4" w:space="0" w:color="FFFFFF"/>
            </w:tcBorders>
            <w:shd w:val="clear" w:color="F8CBAD" w:fill="F8CBAD"/>
            <w:noWrap/>
            <w:hideMark/>
          </w:tcPr>
          <w:p w14:paraId="35235A99"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Herkomst vermogen</w:t>
            </w:r>
            <w:r>
              <w:rPr>
                <w:rFonts w:ascii="Calibri" w:eastAsia="Times New Roman" w:hAnsi="Calibri" w:cs="Calibri"/>
                <w:b/>
                <w:color w:val="000000"/>
                <w:sz w:val="20"/>
                <w:szCs w:val="20"/>
                <w:lang w:eastAsia="nl-NL"/>
              </w:rPr>
              <w:t>*</w:t>
            </w:r>
          </w:p>
        </w:tc>
        <w:tc>
          <w:tcPr>
            <w:tcW w:w="2040" w:type="dxa"/>
            <w:tcBorders>
              <w:top w:val="single" w:sz="4" w:space="0" w:color="FFFFFF"/>
              <w:left w:val="single" w:sz="4" w:space="0" w:color="FFFFFF"/>
              <w:bottom w:val="single" w:sz="4" w:space="0" w:color="FFFFFF"/>
              <w:right w:val="single" w:sz="4" w:space="0" w:color="FFFFFF"/>
            </w:tcBorders>
            <w:shd w:val="clear" w:color="F8CBAD" w:fill="F8CBAD"/>
            <w:hideMark/>
          </w:tcPr>
          <w:p w14:paraId="2857784D" w14:textId="77777777"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Wanneer van toepassing bij hoog</w:t>
            </w:r>
          </w:p>
        </w:tc>
        <w:tc>
          <w:tcPr>
            <w:tcW w:w="9160" w:type="dxa"/>
            <w:tcBorders>
              <w:top w:val="single" w:sz="4" w:space="0" w:color="FFFFFF"/>
              <w:left w:val="single" w:sz="4" w:space="0" w:color="FFFFFF"/>
              <w:bottom w:val="single" w:sz="4" w:space="0" w:color="FFFFFF"/>
              <w:right w:val="nil"/>
            </w:tcBorders>
            <w:shd w:val="clear" w:color="F8CBAD" w:fill="F8CBAD"/>
            <w:hideMark/>
          </w:tcPr>
          <w:p w14:paraId="3EAED7D9" w14:textId="2ECFFA0F" w:rsidR="00953153" w:rsidRPr="00953153" w:rsidRDefault="00953153" w:rsidP="00953153">
            <w:pPr>
              <w:spacing w:after="0" w:line="240" w:lineRule="auto"/>
              <w:rPr>
                <w:rFonts w:ascii="Calibri" w:eastAsia="Times New Roman" w:hAnsi="Calibri" w:cs="Calibri"/>
                <w:b/>
                <w:color w:val="000000"/>
                <w:sz w:val="20"/>
                <w:szCs w:val="20"/>
                <w:lang w:eastAsia="nl-NL"/>
              </w:rPr>
            </w:pPr>
            <w:r w:rsidRPr="00953153">
              <w:rPr>
                <w:rFonts w:ascii="Calibri" w:eastAsia="Times New Roman" w:hAnsi="Calibri" w:cs="Calibri"/>
                <w:b/>
                <w:color w:val="000000"/>
                <w:sz w:val="20"/>
                <w:szCs w:val="20"/>
                <w:lang w:eastAsia="nl-NL"/>
              </w:rPr>
              <w:t>Wanneer er sprake is van hoog risico en een transactie met een voor BPD inkomend</w:t>
            </w:r>
            <w:r w:rsidR="00895CCD">
              <w:rPr>
                <w:rFonts w:ascii="Calibri" w:eastAsia="Times New Roman" w:hAnsi="Calibri" w:cs="Calibri"/>
                <w:b/>
                <w:color w:val="000000"/>
                <w:sz w:val="20"/>
                <w:szCs w:val="20"/>
                <w:lang w:eastAsia="nl-NL"/>
              </w:rPr>
              <w:t>e</w:t>
            </w:r>
            <w:r w:rsidRPr="00953153">
              <w:rPr>
                <w:rFonts w:ascii="Calibri" w:eastAsia="Times New Roman" w:hAnsi="Calibri" w:cs="Calibri"/>
                <w:b/>
                <w:color w:val="000000"/>
                <w:sz w:val="20"/>
                <w:szCs w:val="20"/>
                <w:lang w:eastAsia="nl-NL"/>
              </w:rPr>
              <w:t xml:space="preserve"> geldstroom</w:t>
            </w:r>
          </w:p>
        </w:tc>
      </w:tr>
      <w:tr w:rsidR="00953153" w:rsidRPr="00953153" w14:paraId="1DEA617A" w14:textId="77777777" w:rsidTr="00953153">
        <w:trPr>
          <w:trHeight w:val="525"/>
        </w:trPr>
        <w:tc>
          <w:tcPr>
            <w:tcW w:w="2760" w:type="dxa"/>
            <w:tcBorders>
              <w:top w:val="single" w:sz="4" w:space="0" w:color="FFFFFF"/>
              <w:left w:val="nil"/>
              <w:bottom w:val="single" w:sz="4" w:space="0" w:color="FFFFFF"/>
              <w:right w:val="single" w:sz="4" w:space="0" w:color="FFFFFF"/>
            </w:tcBorders>
            <w:shd w:val="clear" w:color="FCE4D6" w:fill="FCE4D6"/>
            <w:noWrap/>
            <w:hideMark/>
          </w:tcPr>
          <w:p w14:paraId="694A47AA"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Openbare bronnen toets</w:t>
            </w:r>
          </w:p>
        </w:tc>
        <w:tc>
          <w:tcPr>
            <w:tcW w:w="2040" w:type="dxa"/>
            <w:tcBorders>
              <w:top w:val="single" w:sz="4" w:space="0" w:color="FFFFFF"/>
              <w:left w:val="single" w:sz="4" w:space="0" w:color="FFFFFF"/>
              <w:bottom w:val="single" w:sz="4" w:space="0" w:color="FFFFFF"/>
              <w:right w:val="single" w:sz="4" w:space="0" w:color="FFFFFF"/>
            </w:tcBorders>
            <w:shd w:val="clear" w:color="FCE4D6" w:fill="FCE4D6"/>
            <w:hideMark/>
          </w:tcPr>
          <w:p w14:paraId="61AC4555"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Laag, normaal, hoog en onacceptabel</w:t>
            </w:r>
          </w:p>
        </w:tc>
        <w:tc>
          <w:tcPr>
            <w:tcW w:w="9160" w:type="dxa"/>
            <w:tcBorders>
              <w:top w:val="single" w:sz="4" w:space="0" w:color="FFFFFF"/>
              <w:left w:val="single" w:sz="4" w:space="0" w:color="FFFFFF"/>
              <w:bottom w:val="single" w:sz="4" w:space="0" w:color="FFFFFF"/>
              <w:right w:val="nil"/>
            </w:tcBorders>
            <w:shd w:val="clear" w:color="FCE4D6" w:fill="FCE4D6"/>
            <w:noWrap/>
            <w:hideMark/>
          </w:tcPr>
          <w:p w14:paraId="28ECC265"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p>
        </w:tc>
      </w:tr>
      <w:tr w:rsidR="00953153" w:rsidRPr="00953153" w14:paraId="70E3651D" w14:textId="77777777" w:rsidTr="00953153">
        <w:trPr>
          <w:trHeight w:val="525"/>
        </w:trPr>
        <w:tc>
          <w:tcPr>
            <w:tcW w:w="2760" w:type="dxa"/>
            <w:tcBorders>
              <w:top w:val="single" w:sz="4" w:space="0" w:color="FFFFFF"/>
              <w:left w:val="nil"/>
              <w:bottom w:val="nil"/>
              <w:right w:val="single" w:sz="4" w:space="0" w:color="FFFFFF"/>
            </w:tcBorders>
            <w:shd w:val="clear" w:color="F8CBAD" w:fill="F8CBAD"/>
            <w:noWrap/>
            <w:hideMark/>
          </w:tcPr>
          <w:p w14:paraId="43AA556B"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KvK</w:t>
            </w:r>
          </w:p>
        </w:tc>
        <w:tc>
          <w:tcPr>
            <w:tcW w:w="2040" w:type="dxa"/>
            <w:tcBorders>
              <w:top w:val="single" w:sz="4" w:space="0" w:color="FFFFFF"/>
              <w:left w:val="single" w:sz="4" w:space="0" w:color="FFFFFF"/>
              <w:bottom w:val="nil"/>
              <w:right w:val="single" w:sz="4" w:space="0" w:color="FFFFFF"/>
            </w:tcBorders>
            <w:shd w:val="clear" w:color="F8CBAD" w:fill="F8CBAD"/>
            <w:hideMark/>
          </w:tcPr>
          <w:p w14:paraId="789BCA60" w14:textId="1F65EC1D" w:rsidR="00953153" w:rsidRPr="00953153" w:rsidRDefault="00953153" w:rsidP="00AB37C8">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Laag, normaal</w:t>
            </w:r>
            <w:r w:rsidR="00AB37C8">
              <w:rPr>
                <w:rFonts w:ascii="Calibri" w:eastAsia="Times New Roman" w:hAnsi="Calibri" w:cs="Calibri"/>
                <w:color w:val="000000"/>
                <w:sz w:val="20"/>
                <w:szCs w:val="20"/>
                <w:lang w:eastAsia="nl-NL"/>
              </w:rPr>
              <w:t xml:space="preserve"> en</w:t>
            </w:r>
            <w:r w:rsidRPr="00953153">
              <w:rPr>
                <w:rFonts w:ascii="Calibri" w:eastAsia="Times New Roman" w:hAnsi="Calibri" w:cs="Calibri"/>
                <w:color w:val="000000"/>
                <w:sz w:val="20"/>
                <w:szCs w:val="20"/>
                <w:lang w:eastAsia="nl-NL"/>
              </w:rPr>
              <w:t xml:space="preserve"> hoog </w:t>
            </w:r>
          </w:p>
        </w:tc>
        <w:tc>
          <w:tcPr>
            <w:tcW w:w="9160" w:type="dxa"/>
            <w:tcBorders>
              <w:top w:val="single" w:sz="4" w:space="0" w:color="FFFFFF"/>
              <w:left w:val="single" w:sz="4" w:space="0" w:color="FFFFFF"/>
              <w:bottom w:val="nil"/>
              <w:right w:val="nil"/>
            </w:tcBorders>
            <w:shd w:val="clear" w:color="F8CBAD" w:fill="F8CBAD"/>
            <w:hideMark/>
          </w:tcPr>
          <w:p w14:paraId="0BAFC348" w14:textId="77777777" w:rsidR="00953153" w:rsidRPr="00953153" w:rsidRDefault="00953153" w:rsidP="00953153">
            <w:pPr>
              <w:spacing w:after="0" w:line="240" w:lineRule="auto"/>
              <w:rPr>
                <w:rFonts w:ascii="Calibri" w:eastAsia="Times New Roman" w:hAnsi="Calibri" w:cs="Calibri"/>
                <w:color w:val="000000"/>
                <w:sz w:val="20"/>
                <w:szCs w:val="20"/>
                <w:lang w:eastAsia="nl-NL"/>
              </w:rPr>
            </w:pPr>
            <w:r w:rsidRPr="00953153">
              <w:rPr>
                <w:rFonts w:ascii="Calibri" w:eastAsia="Times New Roman" w:hAnsi="Calibri" w:cs="Calibri"/>
                <w:color w:val="000000"/>
                <w:sz w:val="20"/>
                <w:szCs w:val="20"/>
                <w:lang w:eastAsia="nl-NL"/>
              </w:rPr>
              <w:t>Voor buitenlandse zakelijke relaties dient een uittreksel uit een met de KvK vergelijkbare instelling ter plaatse opgevraagd te worden</w:t>
            </w:r>
          </w:p>
        </w:tc>
      </w:tr>
    </w:tbl>
    <w:p w14:paraId="5EAB0012" w14:textId="77777777" w:rsidR="002905F2" w:rsidRPr="00953153" w:rsidRDefault="00953153" w:rsidP="00480909">
      <w:pPr>
        <w:spacing w:after="0"/>
        <w:rPr>
          <w:b/>
        </w:rPr>
      </w:pPr>
      <w:r w:rsidRPr="00953153">
        <w:rPr>
          <w:b/>
        </w:rPr>
        <w:t>*opvragen bij de zakelijke partner</w:t>
      </w:r>
    </w:p>
    <w:p w14:paraId="612E9A2A" w14:textId="77777777" w:rsidR="00480909" w:rsidRDefault="00480909" w:rsidP="00480909">
      <w:pPr>
        <w:spacing w:after="0"/>
      </w:pPr>
    </w:p>
    <w:p w14:paraId="53DD1F1D" w14:textId="77777777" w:rsidR="00480909" w:rsidRDefault="00480909" w:rsidP="00480909">
      <w:pPr>
        <w:spacing w:after="0"/>
      </w:pPr>
    </w:p>
    <w:p w14:paraId="64FF7DEA" w14:textId="77777777" w:rsidR="00953153" w:rsidRDefault="00953153" w:rsidP="00480909">
      <w:pPr>
        <w:spacing w:after="0"/>
      </w:pPr>
    </w:p>
    <w:p w14:paraId="388E66CE" w14:textId="77777777" w:rsidR="00953153" w:rsidRDefault="00953153" w:rsidP="00480909">
      <w:pPr>
        <w:spacing w:after="0"/>
      </w:pPr>
    </w:p>
    <w:sectPr w:rsidR="00953153" w:rsidSect="002905F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21885"/>
    <w:multiLevelType w:val="hybridMultilevel"/>
    <w:tmpl w:val="241826C0"/>
    <w:lvl w:ilvl="0" w:tplc="1CDED8D0">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AC82433"/>
    <w:multiLevelType w:val="hybridMultilevel"/>
    <w:tmpl w:val="CD1C21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B7A4457"/>
    <w:multiLevelType w:val="hybridMultilevel"/>
    <w:tmpl w:val="0234BD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C663C95"/>
    <w:multiLevelType w:val="hybridMultilevel"/>
    <w:tmpl w:val="BC7C7A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6DF66F4"/>
    <w:multiLevelType w:val="hybridMultilevel"/>
    <w:tmpl w:val="BDD4EEC0"/>
    <w:lvl w:ilvl="0" w:tplc="5210BBF0">
      <w:start w:val="1"/>
      <w:numFmt w:val="bullet"/>
      <w:lvlText w:val=""/>
      <w:lvlJc w:val="left"/>
      <w:pPr>
        <w:tabs>
          <w:tab w:val="num" w:pos="2160"/>
        </w:tabs>
        <w:ind w:left="21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965BC1"/>
    <w:multiLevelType w:val="hybridMultilevel"/>
    <w:tmpl w:val="6D9EB5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BBB"/>
    <w:rsid w:val="00025400"/>
    <w:rsid w:val="00056AF4"/>
    <w:rsid w:val="000E0E1A"/>
    <w:rsid w:val="001673DE"/>
    <w:rsid w:val="002262A1"/>
    <w:rsid w:val="00273F34"/>
    <w:rsid w:val="002905F2"/>
    <w:rsid w:val="00410652"/>
    <w:rsid w:val="00480909"/>
    <w:rsid w:val="004C30F9"/>
    <w:rsid w:val="004D3417"/>
    <w:rsid w:val="005662A4"/>
    <w:rsid w:val="005E298E"/>
    <w:rsid w:val="006214D8"/>
    <w:rsid w:val="006456C5"/>
    <w:rsid w:val="00791442"/>
    <w:rsid w:val="00895CCD"/>
    <w:rsid w:val="008B6C8B"/>
    <w:rsid w:val="00945143"/>
    <w:rsid w:val="00945360"/>
    <w:rsid w:val="00946D71"/>
    <w:rsid w:val="00953153"/>
    <w:rsid w:val="009F2BAA"/>
    <w:rsid w:val="00A56719"/>
    <w:rsid w:val="00AB37C8"/>
    <w:rsid w:val="00AC4CE0"/>
    <w:rsid w:val="00C00379"/>
    <w:rsid w:val="00D044DF"/>
    <w:rsid w:val="00D12EEB"/>
    <w:rsid w:val="00D92812"/>
    <w:rsid w:val="00DD4757"/>
    <w:rsid w:val="00E63BBB"/>
    <w:rsid w:val="00EA679D"/>
    <w:rsid w:val="00F31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DE2F"/>
  <w15:chartTrackingRefBased/>
  <w15:docId w15:val="{4E80649A-A147-4CC4-A773-00D7F647A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946D71"/>
    <w:pPr>
      <w:ind w:left="720"/>
      <w:contextualSpacing/>
    </w:pPr>
  </w:style>
  <w:style w:type="character" w:styleId="Verwijzingopmerking">
    <w:name w:val="annotation reference"/>
    <w:basedOn w:val="Standaardalinea-lettertype"/>
    <w:uiPriority w:val="99"/>
    <w:semiHidden/>
    <w:unhideWhenUsed/>
    <w:rsid w:val="001673DE"/>
    <w:rPr>
      <w:sz w:val="16"/>
      <w:szCs w:val="16"/>
    </w:rPr>
  </w:style>
  <w:style w:type="paragraph" w:styleId="Tekstopmerking">
    <w:name w:val="annotation text"/>
    <w:basedOn w:val="Standaard"/>
    <w:link w:val="TekstopmerkingChar"/>
    <w:uiPriority w:val="99"/>
    <w:semiHidden/>
    <w:unhideWhenUsed/>
    <w:rsid w:val="001673DE"/>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673DE"/>
    <w:rPr>
      <w:sz w:val="20"/>
      <w:szCs w:val="20"/>
    </w:rPr>
  </w:style>
  <w:style w:type="paragraph" w:styleId="Onderwerpvanopmerking">
    <w:name w:val="annotation subject"/>
    <w:basedOn w:val="Tekstopmerking"/>
    <w:next w:val="Tekstopmerking"/>
    <w:link w:val="OnderwerpvanopmerkingChar"/>
    <w:uiPriority w:val="99"/>
    <w:semiHidden/>
    <w:unhideWhenUsed/>
    <w:rsid w:val="001673DE"/>
    <w:rPr>
      <w:b/>
      <w:bCs/>
    </w:rPr>
  </w:style>
  <w:style w:type="character" w:customStyle="1" w:styleId="OnderwerpvanopmerkingChar">
    <w:name w:val="Onderwerp van opmerking Char"/>
    <w:basedOn w:val="TekstopmerkingChar"/>
    <w:link w:val="Onderwerpvanopmerking"/>
    <w:uiPriority w:val="99"/>
    <w:semiHidden/>
    <w:rsid w:val="001673DE"/>
    <w:rPr>
      <w:b/>
      <w:bCs/>
      <w:sz w:val="20"/>
      <w:szCs w:val="20"/>
    </w:rPr>
  </w:style>
  <w:style w:type="paragraph" w:styleId="Ballontekst">
    <w:name w:val="Balloon Text"/>
    <w:basedOn w:val="Standaard"/>
    <w:link w:val="BallontekstChar"/>
    <w:uiPriority w:val="99"/>
    <w:semiHidden/>
    <w:unhideWhenUsed/>
    <w:rsid w:val="001673D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673DE"/>
    <w:rPr>
      <w:rFonts w:ascii="Segoe UI" w:hAnsi="Segoe UI" w:cs="Segoe UI"/>
      <w:sz w:val="18"/>
      <w:szCs w:val="18"/>
    </w:rPr>
  </w:style>
  <w:style w:type="character" w:styleId="Zwaar">
    <w:name w:val="Strong"/>
    <w:basedOn w:val="Standaardalinea-lettertype"/>
    <w:uiPriority w:val="22"/>
    <w:qFormat/>
    <w:rsid w:val="001673DE"/>
    <w:rPr>
      <w:b/>
      <w:bCs/>
    </w:rPr>
  </w:style>
  <w:style w:type="character" w:customStyle="1" w:styleId="termtext">
    <w:name w:val="termtext"/>
    <w:basedOn w:val="Standaardalinea-lettertype"/>
    <w:rsid w:val="00A56719"/>
  </w:style>
  <w:style w:type="table" w:styleId="Tabelraster">
    <w:name w:val="Table Grid"/>
    <w:basedOn w:val="Standaardtabel"/>
    <w:rsid w:val="004D3417"/>
    <w:pPr>
      <w:spacing w:after="0" w:line="240" w:lineRule="auto"/>
    </w:pPr>
    <w:rPr>
      <w:rFonts w:ascii="Times New Roman" w:eastAsia="Times New Roman" w:hAnsi="Times New Roman" w:cs="Times New Roman"/>
      <w:sz w:val="20"/>
      <w:szCs w:val="20"/>
      <w:lang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037888">
      <w:bodyDiv w:val="1"/>
      <w:marLeft w:val="0"/>
      <w:marRight w:val="0"/>
      <w:marTop w:val="0"/>
      <w:marBottom w:val="0"/>
      <w:divBdr>
        <w:top w:val="none" w:sz="0" w:space="0" w:color="auto"/>
        <w:left w:val="none" w:sz="0" w:space="0" w:color="auto"/>
        <w:bottom w:val="none" w:sz="0" w:space="0" w:color="auto"/>
        <w:right w:val="none" w:sz="0" w:space="0" w:color="auto"/>
      </w:divBdr>
    </w:div>
    <w:div w:id="1501967156">
      <w:bodyDiv w:val="1"/>
      <w:marLeft w:val="0"/>
      <w:marRight w:val="0"/>
      <w:marTop w:val="0"/>
      <w:marBottom w:val="0"/>
      <w:divBdr>
        <w:top w:val="none" w:sz="0" w:space="0" w:color="auto"/>
        <w:left w:val="none" w:sz="0" w:space="0" w:color="auto"/>
        <w:bottom w:val="none" w:sz="0" w:space="0" w:color="auto"/>
        <w:right w:val="none" w:sz="0" w:space="0" w:color="auto"/>
      </w:divBdr>
    </w:div>
    <w:div w:id="1515412609">
      <w:bodyDiv w:val="1"/>
      <w:marLeft w:val="0"/>
      <w:marRight w:val="0"/>
      <w:marTop w:val="0"/>
      <w:marBottom w:val="0"/>
      <w:divBdr>
        <w:top w:val="none" w:sz="0" w:space="0" w:color="auto"/>
        <w:left w:val="none" w:sz="0" w:space="0" w:color="auto"/>
        <w:bottom w:val="none" w:sz="0" w:space="0" w:color="auto"/>
        <w:right w:val="none" w:sz="0" w:space="0" w:color="auto"/>
      </w:divBdr>
    </w:div>
    <w:div w:id="1541432932">
      <w:bodyDiv w:val="1"/>
      <w:marLeft w:val="0"/>
      <w:marRight w:val="0"/>
      <w:marTop w:val="0"/>
      <w:marBottom w:val="0"/>
      <w:divBdr>
        <w:top w:val="none" w:sz="0" w:space="0" w:color="auto"/>
        <w:left w:val="none" w:sz="0" w:space="0" w:color="auto"/>
        <w:bottom w:val="none" w:sz="0" w:space="0" w:color="auto"/>
        <w:right w:val="none" w:sz="0" w:space="0" w:color="auto"/>
      </w:divBdr>
    </w:div>
    <w:div w:id="2027710166">
      <w:bodyDiv w:val="1"/>
      <w:marLeft w:val="0"/>
      <w:marRight w:val="0"/>
      <w:marTop w:val="0"/>
      <w:marBottom w:val="0"/>
      <w:divBdr>
        <w:top w:val="none" w:sz="0" w:space="0" w:color="auto"/>
        <w:left w:val="none" w:sz="0" w:space="0" w:color="auto"/>
        <w:bottom w:val="none" w:sz="0" w:space="0" w:color="auto"/>
        <w:right w:val="none" w:sz="0" w:space="0" w:color="auto"/>
      </w:divBdr>
    </w:div>
    <w:div w:id="2079785369">
      <w:bodyDiv w:val="1"/>
      <w:marLeft w:val="0"/>
      <w:marRight w:val="0"/>
      <w:marTop w:val="0"/>
      <w:marBottom w:val="0"/>
      <w:divBdr>
        <w:top w:val="none" w:sz="0" w:space="0" w:color="auto"/>
        <w:left w:val="none" w:sz="0" w:space="0" w:color="auto"/>
        <w:bottom w:val="none" w:sz="0" w:space="0" w:color="auto"/>
        <w:right w:val="none" w:sz="0" w:space="0" w:color="auto"/>
      </w:divBdr>
    </w:div>
    <w:div w:id="213825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885</Words>
  <Characters>4872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BPD</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Hoving, MA (Marlijn)</dc:creator>
  <cp:keywords/>
  <dc:description/>
  <cp:lastModifiedBy>Hoving, MA (Marlijn)</cp:lastModifiedBy>
  <cp:revision>2</cp:revision>
  <dcterms:created xsi:type="dcterms:W3CDTF">2021-03-24T08:34:00Z</dcterms:created>
  <dcterms:modified xsi:type="dcterms:W3CDTF">2021-03-24T08:34:00Z</dcterms:modified>
</cp:coreProperties>
</file>